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3.0 -->
  <w:body>
    <w:p>
      <w:pPr>
        <w:pStyle w:val="Title"/>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232323"/>
          <w:spacing w:val="0"/>
          <w:w w:val="100"/>
          <w:kern w:val="0"/>
          <w:position w:val="0"/>
          <w:sz w:val="28"/>
          <w:szCs w:val="28"/>
          <w:highlight w:val="none"/>
          <w:u w:val="none" w:color="auto"/>
          <w:bdr w:val="none" w:sz="0" w:space="0" w:color="auto"/>
          <w:shd w:val="clear" w:color="auto" w:fill="auto"/>
          <w:vertAlign w:val="baseline"/>
          <w:rtl w:val="0"/>
          <w:cs w:val="0"/>
          <w:lang w:val="cy-GB" w:eastAsia="en-US" w:bidi="ar-SA"/>
        </w:rPr>
        <w:t>Ar gyfer Gwerthu Tocynnau a Thocynnau Rhodd</w:t>
      </w:r>
    </w:p>
    <w:p>
      <w:pPr>
        <w:pStyle w:val="BodyText"/>
        <w:bidi w:val="0"/>
        <w:spacing w:before="25" w:line="259"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Paratowyd y Telerau a’r Amodau hyn gan Casnewydd Fyw Glan yr Afon (Rhif Cwmni Cofrestredig: 9323582). Mae Casnewydd Fyw yn elusen gofrestredig (Rhif Elusen Gofrestredig: 1162220) ac fe’i gelwir o hyn ymlaen yn 'Rydym', 'Ein' a 'Ni' at ddibenion gwerthu tocynnau a chynnal digwyddiadau yn ein lleoliadau ('Y Lleoliad').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Gwerthir pob Tocyn yn amodol ar argaeledd ac yn unol â’r telerau a’r amodau hyn.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Dylid darllen y Telerau a’r Amodau hyn, ynghyd â’n Polisi Preifatrwydd, cyn prynu gan fod prynu Tocyn yn gyfystyr â derbyn y telerau a’r amodau hyn.</w:t>
      </w:r>
    </w:p>
    <w:p>
      <w:pPr>
        <w:pStyle w:val="BodyText"/>
        <w:spacing w:before="7"/>
        <w:ind w:left="0"/>
        <w:rPr>
          <w:sz w:val="34"/>
        </w:rPr>
      </w:pPr>
    </w:p>
    <w:p>
      <w:pPr>
        <w:pStyle w:val="Heading1"/>
        <w:numPr>
          <w:ilvl w:val="0"/>
          <w:numId w:val="1"/>
        </w:numPr>
        <w:tabs>
          <w:tab w:val="left" w:pos="356"/>
        </w:tabs>
        <w:bidi w:val="0"/>
        <w:spacing w:before="0" w:after="0" w:line="240" w:lineRule="auto"/>
        <w:ind w:left="355" w:right="0" w:hanging="256"/>
        <w:jc w:val="left"/>
        <w:rPr>
          <w:b w:val="0"/>
        </w:rPr>
      </w:pPr>
      <w:bookmarkStart w:id="0" w:name="1. Tickets &amp; Admission"/>
      <w:bookmarkEnd w:id="0"/>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Tocynnau a Mynediad</w:t>
      </w:r>
    </w:p>
    <w:p>
      <w:pPr>
        <w:pStyle w:val="BodyText"/>
        <w:bidi w:val="0"/>
        <w:spacing w:before="26" w:line="256"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1.(i) Rhaid i bob Cwsmer ddangos Tocyn dilys i gael mynediad i Ddigwyddiad.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Rhaid i’r Cwsmer gadw’r Tocyn pan fydd yn y Lleoliad a dylai’r Tocyn fod ar gael i'w archwilio os bydd staff y Lleoliad yn gofyn amdano.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Gall methu â dangos Tocyn dilys arwain at ofyn y Cwsmer i adael y Lleoliad.</w:t>
      </w:r>
    </w:p>
    <w:p>
      <w:pPr>
        <w:pStyle w:val="BodyText"/>
        <w:bidi w:val="0"/>
        <w:spacing w:before="3"/>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1.(ii) Cyfrifoldeb y Cwsmer yw cysylltu â'r Lleoliad os yw Tocynnau'n cael eu colli, eu dwyn, eu difrodi neu eu dinistrio. </w:t>
      </w:r>
    </w:p>
    <w:p>
      <w:pPr>
        <w:pStyle w:val="BodyText"/>
        <w:bidi w:val="0"/>
        <w:spacing w:before="22"/>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Efallai y byddwn yn cyhoeddi Tocynnau Dyblyg, yn ôl ein disgresiwn.</w:t>
      </w:r>
    </w:p>
    <w:p>
      <w:pPr>
        <w:pStyle w:val="BodyText"/>
        <w:bidi w:val="0"/>
        <w:spacing w:before="22"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1.(iii) Cyfrifoldeb y Cwsmer yw gwirio eu Tocynnau.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Byddwn yn ceisio cywiro pob camgymeriad os cânt eu dwyn i'n sylw cyn y Digwyddiad y mae'r Tocyn yn ddilys ar ei gyfer.</w:t>
      </w:r>
    </w:p>
    <w:p>
      <w:pPr>
        <w:pStyle w:val="BodyText"/>
        <w:bidi w:val="0"/>
        <w:spacing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(iv) Yn yr achos annhebygol y bydd angen canslo neu aildrefnu digwyddiad, byddwn yn gwneud pob ymdrech resymol i hysbysu Cwsmeriaid am y newid ond ni allwn warantu y bydd pob un yn cael ei hysbysu cyn dyddiad y Digwyddiad.</w:t>
      </w:r>
    </w:p>
    <w:p>
      <w:pPr>
        <w:pStyle w:val="BodyText"/>
        <w:ind w:left="0"/>
        <w:rPr>
          <w:sz w:val="26"/>
        </w:rPr>
      </w:pPr>
    </w:p>
    <w:p>
      <w:pPr>
        <w:pStyle w:val="BodyText"/>
        <w:spacing w:before="2"/>
        <w:ind w:left="0"/>
        <w:rPr>
          <w:sz w:val="26"/>
        </w:rPr>
      </w:pPr>
    </w:p>
    <w:p>
      <w:pPr>
        <w:pStyle w:val="Heading1"/>
        <w:numPr>
          <w:ilvl w:val="0"/>
          <w:numId w:val="1"/>
        </w:numPr>
        <w:tabs>
          <w:tab w:val="left" w:pos="356"/>
        </w:tabs>
        <w:bidi w:val="0"/>
        <w:spacing w:before="0" w:after="0" w:line="240" w:lineRule="auto"/>
        <w:ind w:left="355" w:right="0" w:hanging="256"/>
        <w:jc w:val="left"/>
        <w:rPr>
          <w:b w:val="0"/>
        </w:rPr>
      </w:pPr>
      <w:bookmarkStart w:id="1" w:name="2. Conditions of Admission"/>
      <w:bookmarkEnd w:id="1"/>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Amodau Mynediad</w:t>
      </w:r>
    </w:p>
    <w:p>
      <w:pPr>
        <w:pStyle w:val="BodyText"/>
        <w:bidi w:val="0"/>
        <w:spacing w:before="21" w:line="259"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(i) Mae Glan yr Afon yn cadw'r hawl i wrthod mynediad, neu i symud cwsmeriaid o'r Lleoliad ar unrhyw adeg, os yw'r Cwsmer yn ymddwyn mewn modd bygythiol neu ymosodol; yn defnyddio iaith fygythiol, sarhaus neu ddifrïol; yn ymddangos i fod dan ddylanwad alcohol a/neu gyffuriau; yn peri risg i ddiogelwch staff, perfformwyr neu gwsmeriaid;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yn methu cyflwyno prawf adnabod, oedran neu hawl i gonsesiwn/disgownt/tocyn cydymaith hanfodol pan ofynnir am hyn; yn methu â chydymffurfio â chyfarwyddiadau</w:t>
      </w:r>
    </w:p>
    <w:p>
      <w:pPr>
        <w:pStyle w:val="BodyText"/>
        <w:bidi w:val="0"/>
        <w:spacing w:line="259"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a roddir gan staff y Lleoliad, gan gynnwys (ymhlith enghreifftiau eraill) gwiriadau diogelwch.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Ni roddir unrhyw ad-daliadau i Gwsmeriaid y gwrthodir mynediad iddynt neu sydd wedi’u troi allan oherwydd eu hymddygiad fel yr awgrymir yn yr enghreifftiau uchod, ond heb fod yn gyfyngedig iddynt.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Mae'n ofynnol i Gwsmer gydymffurfio â'r holl reolau a rheoliadau</w:t>
      </w:r>
    </w:p>
    <w:p>
      <w:pPr>
        <w:pStyle w:val="BodyText"/>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a osodir gan y Lleoliad mewn perthynas â phresenoldeb y Cwsmer mewn Digwyddiad.</w:t>
      </w:r>
    </w:p>
    <w:p>
      <w:pPr>
        <w:pStyle w:val="BodyText"/>
        <w:bidi w:val="0"/>
        <w:spacing w:before="21" w:line="259"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2.(ii) Bydd y Lleoliad yn ceisio rhoi mynediad i hwyrddyfodiaid ar y cyfle addas cyntaf, a all fod yn ystod yr egwyl.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Ar gyfer rhai Digwyddiadau, ni ellir gwarantu mynediad i hwyrddyfodiaid.</w:t>
      </w:r>
    </w:p>
    <w:p>
      <w:pPr>
        <w:pStyle w:val="BodyText"/>
        <w:bidi w:val="0"/>
        <w:spacing w:before="1"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2.(iii) Mae'r Lleoliad yn cadw'r hawl i wrthod ail-dderbyn i'r Lleoliad.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Os bydd Cwsmeriaid yn dymuno mynd i mewn i’r Lleoliad eto, rhaid iddynt holi staff y Lleoliad cyn iddynt adael. </w:t>
      </w:r>
    </w:p>
    <w:p>
      <w:pPr>
        <w:pStyle w:val="BodyText"/>
        <w:bidi w:val="0"/>
        <w:spacing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2L(iv) Mae'r lleoliad yn cadw'r hawl i gynnal chwiliadau diogelwch ac atafaelu unrhyw eitem a allai, ym marn resymol staff y Lleoliad, achosi perygl i'r Digwyddiad neu Gwsmeriaid eraill neu darfu arnynt, neu y mae'r perfformwyr neu eu cynrychiolwyr wedi gofyn ei bod yn cael ei gwahardd. </w:t>
      </w:r>
    </w:p>
    <w:p>
      <w:pPr>
        <w:pStyle w:val="BodyText"/>
        <w:bidi w:val="0"/>
        <w:spacing w:line="256"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2.(v)</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Bydd y Lleoliad yn gwneud pob ymdrech resymol i rybuddio Cwsmeriaid os oes posibilrwydd y bydd goleuadau strobosgopig yn cael eu defnyddio yn y Digwyddiad.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Argymhellir Cwsmeriaid â chyflyrau meddygol hysbys y gallai’r fath effeithiau goleuo’n gael effaith andwyol arnynt i ofyn am gyngor pellach.</w:t>
      </w:r>
    </w:p>
    <w:p>
      <w:pPr>
        <w:pStyle w:val="BodyText"/>
        <w:spacing w:before="3"/>
        <w:ind w:left="0"/>
        <w:rPr>
          <w:sz w:val="35"/>
        </w:rPr>
      </w:pPr>
    </w:p>
    <w:p>
      <w:pPr>
        <w:pStyle w:val="Heading1"/>
        <w:numPr>
          <w:ilvl w:val="0"/>
          <w:numId w:val="1"/>
        </w:numPr>
        <w:tabs>
          <w:tab w:val="left" w:pos="356"/>
        </w:tabs>
        <w:bidi w:val="0"/>
        <w:spacing w:before="0" w:after="0" w:line="240" w:lineRule="auto"/>
        <w:ind w:left="355" w:right="0" w:hanging="256"/>
        <w:jc w:val="left"/>
        <w:rPr>
          <w:b w:val="0"/>
        </w:rPr>
      </w:pPr>
      <w:bookmarkStart w:id="2" w:name="3. Ticket Cancellations, Exchanges &amp; Ref"/>
      <w:bookmarkEnd w:id="2"/>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Canslo, Cyfnewid ac Ad-dalu Tocynnau</w:t>
      </w:r>
    </w:p>
    <w:p>
      <w:pPr>
        <w:pStyle w:val="BodyText"/>
        <w:bidi w:val="0"/>
        <w:spacing w:before="21"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3.(i) Ni ellir cyfnewid, credydu neu ad-dalu Tocynnau ar ôl eu prynu oni bai bod Digwyddiad yn cael ei ganslo neu ei ohirio, sy’n amgylchiad prin.</w:t>
      </w:r>
    </w:p>
    <w:p>
      <w:pPr>
        <w:spacing w:after="0" w:line="259" w:lineRule="auto"/>
        <w:sectPr>
          <w:type w:val="continuous"/>
          <w:pgSz w:w="11910" w:h="16840"/>
          <w:pgMar w:top="1360" w:right="1340" w:bottom="280" w:left="1340" w:header="708" w:footer="708"/>
          <w:cols w:space="708"/>
        </w:sectPr>
      </w:pPr>
    </w:p>
    <w:p>
      <w:pPr>
        <w:pStyle w:val="BodyText"/>
        <w:bidi w:val="0"/>
        <w:spacing w:before="81"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3.(ii) Yn amodol ar argaeledd ac yn ôl disgresiwn y lleoliad, gallai fod yn bosibl os rhoddir mwy na 24 awr o rybudd iddynt drosglwyddo tocynnau i ddyddiad/amser newydd i’r un sioe.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Codir tâl o £1.00 fesul tocyn am y gwasanaeth hwn.</w:t>
      </w:r>
    </w:p>
    <w:p>
      <w:pPr>
        <w:pStyle w:val="BodyText"/>
        <w:bidi w:val="0"/>
        <w:spacing w:line="259"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3.(iii) Dim ond i’r sawl a brynodd y Tocynnau y caiff ad-daliadau eu gwneud a, lle bo modd, drwy'r un dull a ddefnyddiwyd i brynu'r Tocynnau.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Pan nad yw'n bosibl ad-dalu trwy'r un dull talu rydym yn cadw'r hawl i ofyn am brawf neu ddogfennaeth adnabod ychwanegol er mwyn sicrhau bod yr arian yn cael ei ddychwelyd i'r person cywir; neu i ad-dalu trwy ddefnyddio dull arall (er enghraifft, talebau neu gredyd).</w:t>
      </w:r>
    </w:p>
    <w:p>
      <w:pPr>
        <w:pStyle w:val="BodyText"/>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3.(iv) Yn achos Digwyddiad wedi'i ganslo, bydd cost y Tocynnau’n cael ei had-dalu i Gwsmeriaid.</w:t>
      </w:r>
    </w:p>
    <w:p>
      <w:pPr>
        <w:pStyle w:val="BodyText"/>
        <w:bidi w:val="0"/>
        <w:spacing w:before="22"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3.(v) Yn achos Digwyddiad wedi'i ohirio/aildrefnu, bydd Tocynnau’n parhau'n ddilys ar gyfer y dyddiad/amser newydd a byddwn yn gwneud ymdrechion rhesymol i gysylltu â'r Cwsmer i'w hysbysu o'r newid.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Os na fydd Cwsmer a brynodd cyn y gohirio yn dymuno mynd i'r Digwyddiad wedi'i aildrefnu, yna gellir cael ad-daliad am Gost y Tocynnau trwy gysylltu â ni o fewn 3 mis i'r dyddiad y cafodd y digwyddiad ei ganslo.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Mewn sefyllfaoedd prin, efallai na fydd yn bosibl trosglwyddo'r Tocynnau i'r Digwyddiad wedi'i aildrefnu, ac os felly gellir cynnig Tocynnau amgen neu ad-dalu Cost y Tocynnau.</w:t>
      </w:r>
    </w:p>
    <w:p>
      <w:pPr>
        <w:pStyle w:val="BodyText"/>
        <w:bidi w:val="0"/>
        <w:spacing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3.(vi) Os caiff Digwyddiad ei stopio ar ôl iddo ddechrau cynigir i Gwsmeriaid, yn amodol ar argaeledd, Docynnau gwerth cyfatebol ar gyfer perfformiad amgen o'r un cynhyrchiad neu byddant yn cael ad-daliad o Gost y Tocynnau.</w:t>
      </w:r>
    </w:p>
    <w:p>
      <w:pPr>
        <w:pStyle w:val="BodyText"/>
        <w:bidi w:val="0"/>
        <w:spacing w:line="259" w:lineRule="auto"/>
        <w:ind w:right="10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(vii) Mewn amgylchiadau prin ac annisgwyl, efallai y bydd yn ofynnol i ni ddirymu Tocynnau Cwsmeriaid.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Os yw’n bosibl, cynigir Tocynnau amgen o'r un gwerth i'r Digwyddiad.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Os nad yw hyn yn bosibl, gellir cynnig Tocynnau amgen a chaiff unrhyw wahaniaeth ei gredydu neu’i ddebydu i’r Cwsmer fel sy’n briodol a gyda’i ganiatâd.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Os na ellir cynnig Tocynnau amgen addas, gall y Cwsmer hawlio ad-daliad o Gost y Tocynnau.</w:t>
      </w:r>
    </w:p>
    <w:p>
      <w:pPr>
        <w:pStyle w:val="BodyText"/>
        <w:bidi w:val="0"/>
        <w:spacing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3.(viii) Rydym yn cadw'r hawl i ganslo Tocynnau yr  ydym yn amau’n rhesymol eu bod wedi'u harchebu'n dwyllodrus, os yw mwy o Docynnau wedi’u prynu nag a ganiateir fesul person/cartref, neu yr ydym yn amau eu bod wedi'u hailwerthu, neu y ceisid ei ailwerthu, er elw ariannol am bris uwch na'r hyn a dalwyd yn wreiddiol.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Bydd unrhyw gyfyngiadau perthnasol ar nifer y Tocynnau y gellir eu prynu yn cael eu nodi’n glir ar adeg yr archebu.</w:t>
      </w:r>
    </w:p>
    <w:p>
      <w:pPr>
        <w:pStyle w:val="BodyText"/>
        <w:bidi w:val="0"/>
        <w:spacing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3.(ix) Yn ôl Ein disgresiwn, gellir cadw rhestr aros i gynorthwyo Cwsmeriaid na allant fynd i Ddigwyddiad mwyach.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Rydym yn gallu codi ffi weinyddol am hwyluso trosglwyddo Tocynnau o un Cwsmer i un arall.</w:t>
      </w:r>
    </w:p>
    <w:p>
      <w:pPr>
        <w:pStyle w:val="BodyText"/>
        <w:bidi w:val="0"/>
        <w:spacing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3.(x) Force Majeure. Ni fyddwn yn atebol i Chi am unrhyw fethiant i gyflawni unrhyw rwymedigaeth o dan y Telerau a’r Amodau hyn i'r graddau bod y methiant yn cael ei achosi gan ddigwyddiad y tu hwnt i'n rheolaeth resymol (a fydd yn cynnwys, heb gyfyngiad, weithred Duw, rhyfel, gwrthryfel, terfysg, aflonyddwch sifil, epidemig, pandemig, galaru cenedlaethol, gweithredoedd terfysg, tân, ffrwydrad, llifogydd, dwyn offer hanfodol, difrod maleisus, streic, cloi allan, tywydd, gwaharddeb trydydd parti, gofynion amddiffyn cenedlaethol, gweithredoedd neu reoliadau llywodraethau cenedlaethol neu leol).</w:t>
      </w:r>
    </w:p>
    <w:p>
      <w:pPr>
        <w:pStyle w:val="BodyText"/>
        <w:spacing w:before="3"/>
        <w:ind w:left="0"/>
        <w:rPr>
          <w:sz w:val="34"/>
        </w:rPr>
      </w:pPr>
    </w:p>
    <w:p>
      <w:pPr>
        <w:pStyle w:val="Heading1"/>
        <w:numPr>
          <w:ilvl w:val="0"/>
          <w:numId w:val="1"/>
        </w:numPr>
        <w:tabs>
          <w:tab w:val="left" w:pos="356"/>
        </w:tabs>
        <w:bidi w:val="0"/>
        <w:spacing w:before="0" w:after="0" w:line="240" w:lineRule="auto"/>
        <w:ind w:left="355" w:right="0" w:hanging="256"/>
        <w:jc w:val="left"/>
        <w:rPr>
          <w:b w:val="0"/>
        </w:rPr>
      </w:pPr>
      <w:bookmarkStart w:id="3" w:name="4. Ticket Prices"/>
      <w:bookmarkEnd w:id="3"/>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Prisiau Tocynnau</w:t>
      </w:r>
    </w:p>
    <w:p>
      <w:pPr>
        <w:pStyle w:val="BodyText"/>
        <w:bidi w:val="0"/>
        <w:spacing w:before="26"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4.(i) Gall prisiau Tocynnau newid.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Rydym yn cadw'r hawl i newid prisiau Tocynnau a/neu gyflwyno gostyngiadau/cynigion arbennig na ellir eu defnyddio ar gyfer Tocynnau sydd eisoes wedi’u prynu.</w:t>
      </w:r>
    </w:p>
    <w:p>
      <w:pPr>
        <w:pStyle w:val="BodyText"/>
        <w:bidi w:val="0"/>
        <w:spacing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4.(ii) Cynigir pob gostyngiad/cynnig arbennig yn amodol ar argaeledd ac felly mae'n bosibl na fydd Tocynnau ar gael bob amser ar yr holl brisiau a hysbysebwyd. </w:t>
      </w:r>
    </w:p>
    <w:p>
      <w:pPr>
        <w:pStyle w:val="BodyText"/>
        <w:bidi w:val="0"/>
        <w:spacing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4.(iii) Rhaid gwneud cais am brisiau Tocynnau consesiynol, Cynllun HYNT a gostyngiad ar adeg eu prynu ac ni ellir eu cymhwyso i Docynnau a brynwyd eisoes.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Bydd angen prawf o hawl i gonsesiwn,</w:t>
      </w:r>
    </w:p>
    <w:p>
      <w:pPr>
        <w:spacing w:after="0" w:line="259" w:lineRule="auto"/>
        <w:sectPr>
          <w:pgSz w:w="11910" w:h="16840"/>
          <w:pgMar w:top="1360" w:right="1340" w:bottom="280" w:left="1340" w:header="708" w:footer="708"/>
          <w:cols w:space="708"/>
        </w:sectPr>
      </w:pPr>
    </w:p>
    <w:p>
      <w:pPr>
        <w:pStyle w:val="BodyText"/>
        <w:bidi w:val="0"/>
        <w:spacing w:before="81"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gostyngiad neu Gynllun HYNT.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Ni ellir defnyddio consesiynau a gostyngiadau ar y cyd ag unrhyw gynnig arall.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Os bydd cwsmer yn gymwys ar gyfer cyfraddau consesiynol/gostyngedig lluosog, yna bydd yn derbyn y pris gostyngedig rhataf.</w:t>
      </w:r>
    </w:p>
    <w:p>
      <w:pPr>
        <w:pStyle w:val="BodyText"/>
        <w:spacing w:before="7"/>
        <w:ind w:left="0"/>
        <w:rPr>
          <w:sz w:val="34"/>
        </w:rPr>
      </w:pPr>
    </w:p>
    <w:p>
      <w:pPr>
        <w:pStyle w:val="Heading1"/>
        <w:numPr>
          <w:ilvl w:val="0"/>
          <w:numId w:val="1"/>
        </w:numPr>
        <w:tabs>
          <w:tab w:val="left" w:pos="356"/>
        </w:tabs>
        <w:bidi w:val="0"/>
        <w:spacing w:before="0" w:after="0" w:line="240" w:lineRule="auto"/>
        <w:ind w:left="355" w:right="0" w:hanging="256"/>
        <w:jc w:val="left"/>
        <w:rPr>
          <w:b w:val="0"/>
        </w:rPr>
      </w:pPr>
      <w:bookmarkStart w:id="4" w:name="5. Delivery"/>
      <w:bookmarkEnd w:id="4"/>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Danfon</w:t>
      </w:r>
    </w:p>
    <w:p>
      <w:pPr>
        <w:pStyle w:val="BodyText"/>
        <w:bidi w:val="0"/>
        <w:spacing w:before="26"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5.(i) Os yw cwsmer wedi dewis derbyn ei Docynnau trwy'r dull danfon ‘Argraffu Gartref/e-Docynnau’, ei gyfrifoldeb ef yw rhoi gwybod i Ni cyn i'r Digwyddiad ddechrau os nad yw'r Tocynnau wedi’u derbyn.</w:t>
      </w:r>
    </w:p>
    <w:p>
      <w:pPr>
        <w:pStyle w:val="BodyText"/>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5.(ii) Rydym yn cadw'r hawl i beidio â phostio Tocynnau.</w:t>
      </w:r>
    </w:p>
    <w:p>
      <w:pPr>
        <w:pStyle w:val="BodyText"/>
        <w:bidi w:val="0"/>
        <w:spacing w:before="22"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5.(iii) Rydym yn cadw'r hawl i sicrhau bod Tocynnau ar gael i'w casglu gan y Cwsmer yn y Swyddfa Docynnau. 5.(iv) Efallai y bydd yn ofynnol i'r Cwsmer gyflwyno prawf adnabod wrth gasglu Tocynnau yn y Lleoliad.</w:t>
      </w:r>
    </w:p>
    <w:p>
      <w:pPr>
        <w:pStyle w:val="BodyText"/>
        <w:spacing w:before="6"/>
        <w:ind w:left="0"/>
        <w:rPr>
          <w:sz w:val="34"/>
        </w:rPr>
      </w:pPr>
    </w:p>
    <w:p>
      <w:pPr>
        <w:pStyle w:val="Heading1"/>
        <w:numPr>
          <w:ilvl w:val="0"/>
          <w:numId w:val="1"/>
        </w:numPr>
        <w:tabs>
          <w:tab w:val="left" w:pos="356"/>
        </w:tabs>
        <w:bidi w:val="0"/>
        <w:spacing w:before="0" w:after="0" w:line="240" w:lineRule="auto"/>
        <w:ind w:left="355" w:right="0" w:hanging="256"/>
        <w:jc w:val="left"/>
        <w:rPr>
          <w:b w:val="0"/>
        </w:rPr>
      </w:pPr>
      <w:bookmarkStart w:id="5" w:name="6. Prohibitions &amp; Audience Consent"/>
      <w:bookmarkEnd w:id="5"/>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Gwaharddiadau a Chaniatâd y Gynulleidfa</w:t>
      </w:r>
    </w:p>
    <w:p>
      <w:pPr>
        <w:pStyle w:val="BodyText"/>
        <w:bidi w:val="0"/>
        <w:spacing w:before="26"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6.(i) Gwaherddir ailwerthu, neu geisio ailwerthu, Tocyn heb ganiatâd am elw ariannol ar bris uwch na'r hyn a dalwyd yn wreiddiol.</w:t>
      </w:r>
    </w:p>
    <w:p>
      <w:pPr>
        <w:pStyle w:val="BodyText"/>
        <w:bidi w:val="0"/>
        <w:spacing w:line="259" w:lineRule="auto"/>
        <w:ind w:right="194"/>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6.(ii) Oni chaiff ei ganiatáu'n benodol gan yr act sy’n perfformio neu'r Lleoliad, caiff y defnydd o offer i recordio neu drosglwyddo deunydd clywedol a/neu weledol y tu mewn i'r Lleoliad ei wahardd yn llwyr.</w:t>
      </w:r>
    </w:p>
    <w:p>
      <w:pPr>
        <w:pStyle w:val="BodyText"/>
        <w:bidi w:val="0"/>
        <w:spacing w:line="254"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Trwy fynd i'r Digwyddiad mae Cwsmeriaid yn rhoi eu caniatâd iddynt gael eu ffilmio ac i luniau gael eu tynnu a recordiadau sain gael eu gwneud ohonynt fel aelodau’r gynulleidfa.</w:t>
      </w:r>
    </w:p>
    <w:p>
      <w:pPr>
        <w:pStyle w:val="BodyText"/>
        <w:bidi w:val="0"/>
        <w:spacing w:before="6" w:line="259" w:lineRule="auto"/>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6.(iv) Oni bai y rhoddir caniatâd penodol i’w defnydd gan yr act sy’n perfformio neu’r Lleoliad, rhaid diffodd ffonau symudol, offer negeseua a phob teclyn electronig personol tebyg yn ystod y Digwyddiad.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Gall Cwsmeriaid nad ydynt yn cydymffurfio ac sy’n tarfu ar allu cwsmeriaid eraill i fwynhau’r Digwyddiad gael eu symud o'r Lleoliad heb ad-daliad.</w:t>
      </w:r>
    </w:p>
    <w:p>
      <w:pPr>
        <w:pStyle w:val="BodyText"/>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6.(v) Gwaherddir defnyddio sigaréts electronig yn y Lleoliad.</w:t>
      </w:r>
    </w:p>
    <w:p>
      <w:pPr>
        <w:pStyle w:val="BodyText"/>
        <w:spacing w:before="10"/>
        <w:ind w:left="0"/>
        <w:rPr>
          <w:sz w:val="36"/>
        </w:rPr>
      </w:pPr>
    </w:p>
    <w:p>
      <w:pPr>
        <w:pStyle w:val="Heading1"/>
        <w:numPr>
          <w:ilvl w:val="0"/>
          <w:numId w:val="1"/>
        </w:numPr>
        <w:tabs>
          <w:tab w:val="left" w:pos="356"/>
        </w:tabs>
        <w:bidi w:val="0"/>
        <w:spacing w:before="0" w:after="0" w:line="240" w:lineRule="auto"/>
        <w:ind w:left="355" w:right="0" w:hanging="256"/>
        <w:jc w:val="left"/>
        <w:rPr>
          <w:b w:val="0"/>
        </w:rPr>
      </w:pPr>
      <w:bookmarkStart w:id="6" w:name="7. Gift Vouchers"/>
      <w:bookmarkEnd w:id="6"/>
      <w:r>
        <w:rPr>
          <w:rStyle w:val="DefaultParagraphFont"/>
          <w:rFonts w:ascii="Calibri Light" w:eastAsia="Calibri Light" w:hAnsi="Calibri Light" w:cs="Calibri Light"/>
          <w:b w:val="0"/>
          <w:bCs w:val="0"/>
          <w:i w:val="0"/>
          <w:iCs w:val="0"/>
          <w:caps w:val="0"/>
          <w:smallCaps w:val="0"/>
          <w:strike w:val="0"/>
          <w:dstrike w:val="0"/>
          <w:outline w:val="0"/>
          <w:shadow w:val="0"/>
          <w:emboss w:val="0"/>
          <w:imprint w:val="0"/>
          <w:noProof w:val="0"/>
          <w:vanish w:val="0"/>
          <w:color w:val="232323"/>
          <w:spacing w:val="0"/>
          <w:w w:val="100"/>
          <w:kern w:val="0"/>
          <w:position w:val="0"/>
          <w:sz w:val="26"/>
          <w:szCs w:val="26"/>
          <w:highlight w:val="none"/>
          <w:u w:val="none" w:color="auto"/>
          <w:bdr w:val="none" w:sz="0" w:space="0" w:color="auto"/>
          <w:shd w:val="clear" w:color="auto" w:fill="auto"/>
          <w:vertAlign w:val="baseline"/>
          <w:rtl w:val="0"/>
          <w:cs w:val="0"/>
          <w:lang w:val="cy-GB" w:eastAsia="en-US" w:bidi="ar-SA"/>
        </w:rPr>
        <w:t>Tocynnau Rhodd</w:t>
      </w:r>
    </w:p>
    <w:p>
      <w:pPr>
        <w:pStyle w:val="BodyText"/>
        <w:bidi w:val="0"/>
        <w:spacing w:before="2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7.(i) Gellir defnyddio tocynnau rhodd yn llawn neu'n rhannol i brynu Tocynnau ar gyfer Digwyddiadau sy'n cymryd rhan trwy fynd i swyddfa docynnau’r </w:t>
      </w:r>
    </w:p>
    <w:p>
      <w:pPr>
        <w:pStyle w:val="BodyText"/>
        <w:bidi w:val="0"/>
        <w:spacing w:before="22"/>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Lleoliad.</w:t>
      </w:r>
    </w:p>
    <w:p>
      <w:pPr>
        <w:pStyle w:val="BodyText"/>
        <w:bidi w:val="0"/>
        <w:spacing w:before="21" w:line="259" w:lineRule="auto"/>
        <w:ind w:right="435"/>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7.(ii) Mae tocynnau rhodd yn dod i ben ar ddiwedd y mis un flwyddyn ar ôl y dyddiad prynu.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Ni ellir defnyddio neu ad-dalu tocynnau rhodd sydd wedi dod i ben.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232323"/>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Mae'r dyddiad dod i ben wedi'i argraffu'n glir ar bob tocyn rhodd. 7.(iii) Ni ellir cyfnewid tocynnau rhodd am arian parod.</w:t>
      </w:r>
    </w:p>
    <w:sectPr>
      <w:pgSz w:w="11910" w:h="16840"/>
      <w:pgMar w:top="1360" w:right="1340" w:bottom="280" w:left="13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 w:name="Calibri Light">
    <w:altName w:val="Calibri Light"/>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93DCDC"/>
    <w:multiLevelType w:val="hybridMultilevel"/>
    <w:tmpl w:val="00000000"/>
    <w:lvl w:ilvl="0">
      <w:start w:val="1"/>
      <w:numFmt w:val="decimal"/>
      <w:lvlText w:val="%1."/>
      <w:lvlJc w:val="left"/>
      <w:pPr>
        <w:ind w:left="355" w:hanging="255"/>
        <w:jc w:val="left"/>
      </w:pPr>
      <w:rPr>
        <w:rFonts w:ascii="Calibri Light" w:eastAsia="Calibri Light" w:hAnsi="Calibri Light" w:cs="Calibri Light" w:hint="default"/>
        <w:b w:val="0"/>
        <w:bCs w:val="0"/>
        <w:i w:val="0"/>
        <w:iCs w:val="0"/>
        <w:color w:val="232323"/>
        <w:spacing w:val="-2"/>
        <w:w w:val="100"/>
        <w:sz w:val="26"/>
        <w:szCs w:val="26"/>
        <w:lang w:val="en-US" w:eastAsia="en-US" w:bidi="ar-SA"/>
      </w:rPr>
    </w:lvl>
    <w:lvl w:ilvl="1">
      <w:start w:val="0"/>
      <w:numFmt w:val="bullet"/>
      <w:lvlText w:val="•"/>
      <w:lvlJc w:val="left"/>
      <w:pPr>
        <w:ind w:left="1246" w:hanging="255"/>
      </w:pPr>
      <w:rPr>
        <w:rFonts w:hint="default"/>
        <w:lang w:val="en-US" w:eastAsia="en-US" w:bidi="ar-SA"/>
      </w:rPr>
    </w:lvl>
    <w:lvl w:ilvl="2">
      <w:start w:val="0"/>
      <w:numFmt w:val="bullet"/>
      <w:lvlText w:val="•"/>
      <w:lvlJc w:val="left"/>
      <w:pPr>
        <w:ind w:left="2133" w:hanging="255"/>
      </w:pPr>
      <w:rPr>
        <w:rFonts w:hint="default"/>
        <w:lang w:val="en-US" w:eastAsia="en-US" w:bidi="ar-SA"/>
      </w:rPr>
    </w:lvl>
    <w:lvl w:ilvl="3">
      <w:start w:val="0"/>
      <w:numFmt w:val="bullet"/>
      <w:lvlText w:val="•"/>
      <w:lvlJc w:val="left"/>
      <w:pPr>
        <w:ind w:left="3019" w:hanging="255"/>
      </w:pPr>
      <w:rPr>
        <w:rFonts w:hint="default"/>
        <w:lang w:val="en-US" w:eastAsia="en-US" w:bidi="ar-SA"/>
      </w:rPr>
    </w:lvl>
    <w:lvl w:ilvl="4">
      <w:start w:val="0"/>
      <w:numFmt w:val="bullet"/>
      <w:lvlText w:val="•"/>
      <w:lvlJc w:val="left"/>
      <w:pPr>
        <w:ind w:left="3906" w:hanging="255"/>
      </w:pPr>
      <w:rPr>
        <w:rFonts w:hint="default"/>
        <w:lang w:val="en-US" w:eastAsia="en-US" w:bidi="ar-SA"/>
      </w:rPr>
    </w:lvl>
    <w:lvl w:ilvl="5">
      <w:start w:val="0"/>
      <w:numFmt w:val="bullet"/>
      <w:lvlText w:val="•"/>
      <w:lvlJc w:val="left"/>
      <w:pPr>
        <w:ind w:left="4792" w:hanging="255"/>
      </w:pPr>
      <w:rPr>
        <w:rFonts w:hint="default"/>
        <w:lang w:val="en-US" w:eastAsia="en-US" w:bidi="ar-SA"/>
      </w:rPr>
    </w:lvl>
    <w:lvl w:ilvl="6">
      <w:start w:val="0"/>
      <w:numFmt w:val="bullet"/>
      <w:lvlText w:val="•"/>
      <w:lvlJc w:val="left"/>
      <w:pPr>
        <w:ind w:left="5679" w:hanging="255"/>
      </w:pPr>
      <w:rPr>
        <w:rFonts w:hint="default"/>
        <w:lang w:val="en-US" w:eastAsia="en-US" w:bidi="ar-SA"/>
      </w:rPr>
    </w:lvl>
    <w:lvl w:ilvl="7">
      <w:start w:val="0"/>
      <w:numFmt w:val="bullet"/>
      <w:lvlText w:val="•"/>
      <w:lvlJc w:val="left"/>
      <w:pPr>
        <w:ind w:left="6565" w:hanging="255"/>
      </w:pPr>
      <w:rPr>
        <w:rFonts w:hint="default"/>
        <w:lang w:val="en-US" w:eastAsia="en-US" w:bidi="ar-SA"/>
      </w:rPr>
    </w:lvl>
    <w:lvl w:ilvl="8">
      <w:start w:val="0"/>
      <w:numFmt w:val="bullet"/>
      <w:lvlText w:val="•"/>
      <w:lvlJc w:val="left"/>
      <w:pPr>
        <w:ind w:left="7452" w:hanging="25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paragraph" w:styleId="Heading1">
    <w:name w:val="heading 1"/>
    <w:basedOn w:val="Normal"/>
    <w:uiPriority w:val="1"/>
    <w:qFormat/>
    <w:pPr>
      <w:ind w:left="355" w:hanging="256"/>
      <w:outlineLvl w:val="0"/>
    </w:pPr>
    <w:rPr>
      <w:rFonts w:ascii="Calibri Light" w:eastAsia="Calibri Light" w:hAnsi="Calibri Light" w:cs="Calibri Light"/>
      <w:sz w:val="26"/>
      <w:szCs w:val="26"/>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Calibri" w:eastAsia="Calibri" w:hAnsi="Calibri" w:cs="Calibri"/>
      <w:sz w:val="22"/>
      <w:szCs w:val="22"/>
      <w:lang w:val="en-US" w:eastAsia="en-US" w:bidi="ar-SA"/>
    </w:rPr>
  </w:style>
  <w:style w:type="paragraph" w:styleId="Title">
    <w:name w:val="Title"/>
    <w:basedOn w:val="Normal"/>
    <w:uiPriority w:val="1"/>
    <w:qFormat/>
    <w:pPr>
      <w:spacing w:before="84"/>
      <w:ind w:left="100"/>
    </w:pPr>
    <w:rPr>
      <w:rFonts w:ascii="Calibri" w:eastAsia="Calibri" w:hAnsi="Calibri" w:cs="Calibri"/>
      <w:b/>
      <w:bCs/>
      <w:sz w:val="28"/>
      <w:szCs w:val="28"/>
      <w:lang w:val="en-US" w:eastAsia="en-US" w:bidi="ar-SA"/>
    </w:rPr>
  </w:style>
  <w:style w:type="paragraph" w:styleId="ListParagraph">
    <w:name w:val="List Paragraph"/>
    <w:basedOn w:val="Normal"/>
    <w:uiPriority w:val="1"/>
    <w:qFormat/>
    <w:pPr>
      <w:ind w:left="355" w:hanging="256"/>
    </w:pPr>
    <w:rPr>
      <w:rFonts w:ascii="Calibri Light" w:eastAsia="Calibri Light" w:hAnsi="Calibri Light" w:cs="Calibri Light"/>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Perry</dc:creator>
  <cp:revision>0</cp:revision>
  <dcterms:created xsi:type="dcterms:W3CDTF">2024-09-17T15:34:51Z</dcterms:created>
  <dcterms:modified xsi:type="dcterms:W3CDTF">2024-09-17T15:34:51Z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vt:lpwstr>
  </property>
  <property fmtid="{D5CDD505-2E9C-101B-9397-08002B2CF9AE}" pid="4" name="LastSaved">
    <vt:filetime>2024-09-17T00:00:00Z</vt:filetime>
  </property>
</Properties>
</file>